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2"/>
        <w:ind w:left="3797" w:right="3660"/>
        <w:jc w:val="center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562609</wp:posOffset>
            </wp:positionH>
            <wp:positionV relativeFrom="paragraph">
              <wp:posOffset>10459</wp:posOffset>
            </wp:positionV>
            <wp:extent cx="2322194" cy="8331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94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EUPHORIA TRADE s.r.o.</w:t>
      </w:r>
    </w:p>
    <w:p>
      <w:pPr>
        <w:pStyle w:val="BodyText"/>
        <w:spacing w:line="400" w:lineRule="auto" w:before="180"/>
        <w:ind w:left="4145" w:right="267" w:firstLine="2"/>
      </w:pPr>
      <w:r>
        <w:rPr/>
        <w:t>Klimentska 1216/46, 110 00 Prague, Czech Republic. </w:t>
      </w:r>
      <w:hyperlink r:id="rId6">
        <w:r>
          <w:rPr/>
          <w:t>www.cannabisfood.cz </w:t>
        </w:r>
      </w:hyperlink>
      <w:r>
        <w:rPr/>
        <w:t>/ </w:t>
      </w:r>
      <w:hyperlink r:id="rId7">
        <w:r>
          <w:rPr/>
          <w:t>info@euphoria.trade </w:t>
        </w:r>
      </w:hyperlink>
      <w:r>
        <w:rPr/>
        <w:t>/ +420 266 793 203</w:t>
      </w:r>
    </w:p>
    <w:p>
      <w:pPr>
        <w:pStyle w:val="BodyText"/>
        <w:spacing w:before="5"/>
        <w:ind w:left="0"/>
      </w:pPr>
      <w:r>
        <w:rPr/>
        <w:pict>
          <v:line style="position:absolute;mso-position-horizontal-relative:page;mso-position-vertical-relative:paragraph;z-index:0;mso-wrap-distance-left:0;mso-wrap-distance-right:0" from="52.560001pt,16.423634pt" to="546.120001pt,16.423634pt" stroked="true" strokeweight="1.44pt" strokecolor="#000000">
            <v:stroke dashstyle="solid"/>
            <w10:wrap type="topAndBottom"/>
          </v:line>
        </w:pict>
      </w:r>
    </w:p>
    <w:p>
      <w:pPr>
        <w:spacing w:before="131"/>
        <w:ind w:left="3826" w:right="3660" w:firstLine="0"/>
        <w:jc w:val="center"/>
        <w:rPr>
          <w:b/>
          <w:sz w:val="28"/>
        </w:rPr>
      </w:pPr>
      <w:r>
        <w:rPr>
          <w:b/>
          <w:sz w:val="28"/>
        </w:rPr>
        <w:t>EUPHORIA CBD Oil 10%</w:t>
      </w:r>
    </w:p>
    <w:p>
      <w:pPr>
        <w:pStyle w:val="Heading1"/>
        <w:spacing w:before="185"/>
        <w:ind w:left="3825"/>
      </w:pPr>
      <w:r>
        <w:rPr/>
        <w:t>PRODUCT SPECIFICATION</w:t>
      </w:r>
    </w:p>
    <w:p>
      <w:pPr>
        <w:pStyle w:val="BodyText"/>
        <w:spacing w:before="5"/>
        <w:ind w:left="0"/>
        <w:rPr>
          <w:b/>
          <w:sz w:val="10"/>
        </w:rPr>
      </w:pPr>
    </w:p>
    <w:p>
      <w:pPr>
        <w:spacing w:before="56"/>
        <w:ind w:left="300" w:right="0" w:firstLine="0"/>
        <w:jc w:val="left"/>
        <w:rPr>
          <w:sz w:val="22"/>
        </w:rPr>
      </w:pPr>
      <w:r>
        <w:rPr>
          <w:b/>
          <w:sz w:val="22"/>
        </w:rPr>
        <w:t>Ingredients: </w:t>
      </w:r>
      <w:r>
        <w:rPr>
          <w:sz w:val="22"/>
        </w:rPr>
        <w:t>Hemp extract containing CBD, hemp oil.</w:t>
      </w:r>
    </w:p>
    <w:p>
      <w:pPr>
        <w:spacing w:before="180"/>
        <w:ind w:left="300" w:right="0" w:firstLine="0"/>
        <w:jc w:val="left"/>
        <w:rPr>
          <w:sz w:val="22"/>
        </w:rPr>
      </w:pPr>
      <w:r>
        <w:rPr>
          <w:b/>
          <w:sz w:val="22"/>
        </w:rPr>
        <w:t>Storage Conditions: </w:t>
      </w:r>
      <w:r>
        <w:rPr>
          <w:sz w:val="22"/>
        </w:rPr>
        <w:t>in a dry and cool place.</w:t>
      </w:r>
    </w:p>
    <w:p>
      <w:pPr>
        <w:pStyle w:val="BodyText"/>
        <w:spacing w:before="183"/>
      </w:pPr>
      <w:r>
        <w:rPr>
          <w:b/>
        </w:rPr>
        <w:t>Dosage</w:t>
      </w:r>
      <w:r>
        <w:rPr/>
        <w:t>: recommended daily intake 2x5 drops per day. Maximal daily intake of 15 drops.</w:t>
      </w:r>
    </w:p>
    <w:p>
      <w:pPr>
        <w:spacing w:before="181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Content: </w:t>
      </w:r>
      <w:r>
        <w:rPr>
          <w:sz w:val="22"/>
        </w:rPr>
        <w:t>10ml / 1000 mg CBD. </w:t>
      </w:r>
      <w:r>
        <w:rPr>
          <w:b/>
          <w:sz w:val="22"/>
        </w:rPr>
        <w:t>Produced in the Netherlands </w:t>
      </w:r>
      <w:r>
        <w:rPr>
          <w:sz w:val="22"/>
        </w:rPr>
        <w:t>for </w:t>
      </w:r>
      <w:r>
        <w:rPr>
          <w:b/>
          <w:sz w:val="22"/>
        </w:rPr>
        <w:t>EUPHORIA TRADE s.r.o.</w:t>
      </w:r>
    </w:p>
    <w:p>
      <w:pPr>
        <w:pStyle w:val="Heading1"/>
        <w:ind w:left="3826"/>
      </w:pPr>
      <w:r>
        <w:rPr/>
        <w:t>ANALYSIS REPORT</w:t>
      </w:r>
    </w:p>
    <w:p>
      <w:pPr>
        <w:spacing w:before="183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Procedure:</w:t>
      </w:r>
    </w:p>
    <w:p>
      <w:pPr>
        <w:pStyle w:val="BodyText"/>
        <w:spacing w:before="180"/>
      </w:pPr>
      <w:r>
        <w:rPr/>
        <w:t>Identification and quantification of cannabinoids has been performed via HPLC analysis according to the</w:t>
      </w:r>
    </w:p>
    <w:p>
      <w:pPr>
        <w:pStyle w:val="BodyText"/>
        <w:spacing w:before="22"/>
      </w:pPr>
      <w:r>
        <w:rPr/>
        <w:t>producer’s analytical methods.</w:t>
      </w:r>
    </w:p>
    <w:p>
      <w:pPr>
        <w:pStyle w:val="BodyText"/>
        <w:spacing w:before="182"/>
      </w:pPr>
      <w:r>
        <w:rPr/>
        <w:t>Samples are analysed in duplicate.</w:t>
      </w:r>
    </w:p>
    <w:p>
      <w:pPr>
        <w:pStyle w:val="BodyText"/>
        <w:spacing w:before="181"/>
      </w:pPr>
      <w:r>
        <w:rPr/>
        <w:t>The data is reported when the duplicate analysis showed that: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180" w:after="0"/>
        <w:ind w:left="1020" w:right="0" w:hanging="360"/>
        <w:jc w:val="left"/>
        <w:rPr>
          <w:sz w:val="22"/>
        </w:rPr>
      </w:pPr>
      <w:r>
        <w:rPr>
          <w:sz w:val="22"/>
        </w:rPr>
        <w:t>the 6 standards used in sequence have RSD% &lt;</w:t>
      </w:r>
      <w:r>
        <w:rPr>
          <w:spacing w:val="-5"/>
          <w:sz w:val="22"/>
        </w:rPr>
        <w:t> </w:t>
      </w:r>
      <w:r>
        <w:rPr>
          <w:sz w:val="22"/>
        </w:rPr>
        <w:t>2%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23" w:after="0"/>
        <w:ind w:left="1020" w:right="0" w:hanging="360"/>
        <w:jc w:val="left"/>
        <w:rPr>
          <w:sz w:val="22"/>
        </w:rPr>
      </w:pPr>
      <w:r>
        <w:rPr>
          <w:sz w:val="22"/>
        </w:rPr>
        <w:t>the main component has RSD% &lt;</w:t>
      </w:r>
      <w:r>
        <w:rPr>
          <w:spacing w:val="-7"/>
          <w:sz w:val="22"/>
        </w:rPr>
        <w:t> </w:t>
      </w:r>
      <w:r>
        <w:rPr>
          <w:sz w:val="22"/>
        </w:rPr>
        <w:t>5%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22" w:after="0"/>
        <w:ind w:left="1020" w:right="0" w:hanging="360"/>
        <w:jc w:val="left"/>
        <w:rPr>
          <w:sz w:val="22"/>
        </w:rPr>
      </w:pPr>
      <w:r>
        <w:rPr>
          <w:sz w:val="22"/>
        </w:rPr>
        <w:t>other components to quantified have RSD% &lt;</w:t>
      </w:r>
      <w:r>
        <w:rPr>
          <w:spacing w:val="-10"/>
          <w:sz w:val="22"/>
        </w:rPr>
        <w:t> </w:t>
      </w:r>
      <w:r>
        <w:rPr>
          <w:sz w:val="22"/>
        </w:rPr>
        <w:t>10%</w:t>
      </w:r>
    </w:p>
    <w:p>
      <w:pPr>
        <w:pStyle w:val="BodyText"/>
        <w:spacing w:before="4"/>
        <w:ind w:left="0"/>
        <w:rPr>
          <w:sz w:val="18"/>
        </w:r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2661"/>
        <w:gridCol w:w="5158"/>
      </w:tblGrid>
      <w:tr>
        <w:trPr>
          <w:trHeight w:val="334" w:hRule="atLeast"/>
        </w:trPr>
        <w:tc>
          <w:tcPr>
            <w:tcW w:w="2052" w:type="dxa"/>
          </w:tcPr>
          <w:p>
            <w:pPr>
              <w:pStyle w:val="TableParagraph"/>
              <w:spacing w:line="225" w:lineRule="exact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Product information:</w:t>
            </w:r>
          </w:p>
        </w:tc>
        <w:tc>
          <w:tcPr>
            <w:tcW w:w="781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052" w:type="dxa"/>
          </w:tcPr>
          <w:p>
            <w:pPr>
              <w:pStyle w:val="TableParagraph"/>
              <w:spacing w:before="70"/>
              <w:ind w:left="28"/>
              <w:rPr>
                <w:sz w:val="22"/>
              </w:rPr>
            </w:pPr>
            <w:r>
              <w:rPr>
                <w:sz w:val="22"/>
              </w:rPr>
              <w:t>Sample: 10% CBD Oil.</w:t>
            </w:r>
          </w:p>
        </w:tc>
        <w:tc>
          <w:tcPr>
            <w:tcW w:w="2661" w:type="dxa"/>
          </w:tcPr>
          <w:p>
            <w:pPr>
              <w:pStyle w:val="TableParagraph"/>
              <w:spacing w:before="70"/>
              <w:ind w:left="101"/>
              <w:rPr>
                <w:sz w:val="22"/>
              </w:rPr>
            </w:pPr>
            <w:r>
              <w:rPr>
                <w:sz w:val="22"/>
              </w:rPr>
              <w:t>Analysis date: 16.04.2018</w:t>
            </w:r>
          </w:p>
        </w:tc>
        <w:tc>
          <w:tcPr>
            <w:tcW w:w="5158" w:type="dxa"/>
          </w:tcPr>
          <w:p>
            <w:pPr>
              <w:pStyle w:val="TableParagraph"/>
              <w:tabs>
                <w:tab w:pos="2397" w:val="left" w:leader="none"/>
              </w:tabs>
              <w:spacing w:before="70"/>
              <w:ind w:left="273"/>
              <w:rPr>
                <w:sz w:val="22"/>
              </w:rPr>
            </w:pPr>
            <w:r>
              <w:rPr>
                <w:sz w:val="22"/>
              </w:rPr>
              <w:t>Batch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18M0007</w:t>
              <w:tab/>
              <w:t>Expiration date: March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2052" w:type="dxa"/>
          </w:tcPr>
          <w:p>
            <w:pPr>
              <w:pStyle w:val="TableParagraph"/>
              <w:spacing w:before="71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Results: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Cannabinoids</w:t>
            </w:r>
          </w:p>
        </w:tc>
        <w:tc>
          <w:tcPr>
            <w:tcW w:w="26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0"/>
              <w:ind w:left="981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</w:p>
        </w:tc>
      </w:tr>
      <w:tr>
        <w:trPr>
          <w:trHeight w:val="300" w:hRule="atLeast"/>
        </w:trPr>
        <w:tc>
          <w:tcPr>
            <w:tcW w:w="20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2"/>
              </w:rPr>
            </w:pPr>
            <w:r>
              <w:rPr>
                <w:sz w:val="22"/>
              </w:rPr>
              <w:t>CBD</w:t>
            </w:r>
          </w:p>
        </w:tc>
        <w:tc>
          <w:tcPr>
            <w:tcW w:w="266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981"/>
              <w:rPr>
                <w:sz w:val="22"/>
              </w:rPr>
            </w:pPr>
            <w:r>
              <w:rPr>
                <w:sz w:val="22"/>
              </w:rPr>
              <w:t>9,97 %</w:t>
            </w:r>
          </w:p>
        </w:tc>
      </w:tr>
      <w:tr>
        <w:trPr>
          <w:trHeight w:val="578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Δ⁹ - THC</w:t>
            </w:r>
          </w:p>
          <w:p>
            <w:pPr>
              <w:pStyle w:val="TableParagraph"/>
              <w:spacing w:before="19"/>
              <w:ind w:left="28"/>
              <w:rPr>
                <w:sz w:val="22"/>
              </w:rPr>
            </w:pPr>
            <w:r>
              <w:rPr>
                <w:sz w:val="22"/>
              </w:rPr>
              <w:t>Δ</w:t>
            </w:r>
            <w:r>
              <w:rPr>
                <w:sz w:val="22"/>
                <w:vertAlign w:val="superscript"/>
              </w:rPr>
              <w:t>8</w:t>
            </w:r>
            <w:r>
              <w:rPr>
                <w:sz w:val="22"/>
                <w:vertAlign w:val="baseline"/>
              </w:rPr>
              <w:t> - THC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&lt;0,19 %</w:t>
            </w:r>
          </w:p>
          <w:p>
            <w:pPr>
              <w:pStyle w:val="TableParagraph"/>
              <w:spacing w:before="19"/>
              <w:ind w:left="981"/>
              <w:rPr>
                <w:sz w:val="22"/>
              </w:rPr>
            </w:pPr>
            <w:r>
              <w:rPr>
                <w:sz w:val="22"/>
              </w:rPr>
              <w:t>0,02 %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60" w:lineRule="exact"/>
              <w:ind w:left="28"/>
              <w:rPr>
                <w:sz w:val="22"/>
              </w:rPr>
            </w:pPr>
            <w:r>
              <w:rPr>
                <w:sz w:val="22"/>
              </w:rPr>
              <w:t>THCA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60" w:lineRule="exact"/>
              <w:ind w:left="981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CBDA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0,07 %</w:t>
            </w:r>
          </w:p>
        </w:tc>
      </w:tr>
      <w:tr>
        <w:trPr>
          <w:trHeight w:val="289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CBG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89" w:hRule="atLeast"/>
        </w:trPr>
        <w:tc>
          <w:tcPr>
            <w:tcW w:w="2052" w:type="dxa"/>
          </w:tcPr>
          <w:p>
            <w:pPr>
              <w:pStyle w:val="TableParagraph"/>
              <w:spacing w:line="258" w:lineRule="exact"/>
              <w:ind w:left="28"/>
              <w:rPr>
                <w:sz w:val="22"/>
              </w:rPr>
            </w:pPr>
            <w:r>
              <w:rPr>
                <w:sz w:val="22"/>
              </w:rPr>
              <w:t>CBGA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8" w:lineRule="exact"/>
              <w:ind w:left="981"/>
              <w:rPr>
                <w:sz w:val="22"/>
              </w:rPr>
            </w:pPr>
            <w:r>
              <w:rPr>
                <w:sz w:val="22"/>
              </w:rPr>
              <w:t>&lt;0,01 %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CBN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0,02 %</w:t>
            </w:r>
          </w:p>
        </w:tc>
      </w:tr>
      <w:tr>
        <w:trPr>
          <w:trHeight w:val="290" w:hRule="atLeast"/>
        </w:trPr>
        <w:tc>
          <w:tcPr>
            <w:tcW w:w="2052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CBC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8" w:type="dxa"/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0,12 %</w:t>
            </w:r>
          </w:p>
        </w:tc>
      </w:tr>
      <w:tr>
        <w:trPr>
          <w:trHeight w:val="298" w:hRule="atLeast"/>
        </w:trPr>
        <w:tc>
          <w:tcPr>
            <w:tcW w:w="2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THCV</w:t>
            </w:r>
          </w:p>
        </w:tc>
        <w:tc>
          <w:tcPr>
            <w:tcW w:w="26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9" w:lineRule="exact"/>
              <w:ind w:left="981"/>
              <w:rPr>
                <w:sz w:val="22"/>
              </w:rPr>
            </w:pPr>
            <w:r>
              <w:rPr>
                <w:sz w:val="22"/>
              </w:rPr>
              <w:t>n.d.</w:t>
            </w:r>
          </w:p>
        </w:tc>
      </w:tr>
      <w:tr>
        <w:trPr>
          <w:trHeight w:val="265" w:hRule="atLeast"/>
        </w:trPr>
        <w:tc>
          <w:tcPr>
            <w:tcW w:w="20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28"/>
              <w:rPr>
                <w:sz w:val="22"/>
              </w:rPr>
            </w:pPr>
            <w:r>
              <w:rPr>
                <w:sz w:val="22"/>
              </w:rPr>
              <w:t>n.d.: not detected.</w:t>
            </w:r>
          </w:p>
        </w:tc>
        <w:tc>
          <w:tcPr>
            <w:tcW w:w="266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line="400" w:lineRule="auto"/>
        <w:ind w:right="7380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3981450</wp:posOffset>
            </wp:positionH>
            <wp:positionV relativeFrom="paragraph">
              <wp:posOffset>-325023</wp:posOffset>
            </wp:positionV>
            <wp:extent cx="2933700" cy="124523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Approved by: Sardor Varisov In Prague, 23.04.2018</w:t>
      </w:r>
    </w:p>
    <w:sectPr>
      <w:type w:val="continuous"/>
      <w:pgSz w:w="11910" w:h="16840"/>
      <w:pgMar w:top="940" w:bottom="280" w:left="7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65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87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710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555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478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401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300"/>
    </w:pPr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80"/>
      <w:ind w:left="300" w:right="366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22"/>
      <w:ind w:left="1020" w:hanging="360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annabisfood.cz/" TargetMode="External"/><Relationship Id="rId7" Type="http://schemas.openxmlformats.org/officeDocument/2006/relationships/hyperlink" Target="mailto:info@euphoria.trade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Sardor Varisov</dc:creator>
  <dcterms:created xsi:type="dcterms:W3CDTF">2018-10-02T09:20:38Z</dcterms:created>
  <dcterms:modified xsi:type="dcterms:W3CDTF">2018-10-02T09:20:38Z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2018-10-02T00:00:00Z</vt:filetime>
  </property>
</Properties>
</file>